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158" w:rsidRDefault="00B26158" w:rsidP="00B26158">
      <w:pPr>
        <w:spacing w:line="360" w:lineRule="auto"/>
        <w:jc w:val="center"/>
        <w:rPr>
          <w:rFonts w:ascii="Garamond" w:hAnsi="Garamond" w:cs="Garamond"/>
          <w:b/>
          <w:bCs/>
          <w:sz w:val="28"/>
          <w:szCs w:val="28"/>
          <w:lang w:val="fr-FR"/>
        </w:rPr>
      </w:pPr>
      <w:r>
        <w:rPr>
          <w:rFonts w:ascii="Garamond" w:hAnsi="Garamond" w:cs="Garamond"/>
          <w:b/>
          <w:bCs/>
          <w:sz w:val="28"/>
          <w:szCs w:val="28"/>
          <w:lang w:val="fr-FR"/>
        </w:rPr>
        <w:t>Archives utilisées</w:t>
      </w: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Comptages des actes de crédit au cours du temps</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 xml:space="preserve">Nous avons suivi dix études de 1660 à 1869 et deux études supplémentaires sur des périodes plus courtes. Dans tous les cas, nous avons utilisé les répertoires des études pour relever le </w:t>
      </w:r>
      <w:r w:rsidR="000D294D">
        <w:rPr>
          <w:rFonts w:ascii="Garamond" w:hAnsi="Garamond" w:cs="Garamond"/>
          <w:sz w:val="22"/>
          <w:szCs w:val="22"/>
          <w:lang w:val="fr-FR"/>
        </w:rPr>
        <w:t>nombre</w:t>
      </w:r>
      <w:r>
        <w:rPr>
          <w:rFonts w:ascii="Garamond" w:hAnsi="Garamond" w:cs="Garamond"/>
          <w:sz w:val="22"/>
          <w:szCs w:val="22"/>
          <w:lang w:val="fr-FR"/>
        </w:rPr>
        <w:t xml:space="preserve"> des prêts et des remboursements. D’autre part, nous avons estimé le montant et la durée des contrats. Comme les répertoires des études présentent parfois des lacunes ou des traits particuliers nous en donnons ici une brève présentation :</w:t>
      </w:r>
    </w:p>
    <w:p w:rsidR="00B26158" w:rsidRDefault="00B26158" w:rsidP="00B26158">
      <w:pPr>
        <w:tabs>
          <w:tab w:val="left" w:pos="720"/>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IX</w:t>
      </w:r>
      <w:r>
        <w:rPr>
          <w:rFonts w:ascii="Garamond" w:hAnsi="Garamond" w:cs="Garamond"/>
          <w:sz w:val="22"/>
          <w:szCs w:val="22"/>
          <w:lang w:val="fr-FR"/>
        </w:rPr>
        <w:tab/>
        <w:t xml:space="preserve">Dates: 1660-Juillet 1864. Quittances des emprunts publics:1698-21, 1760-1796. Taille des prêts: 1826-64. </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XXI</w:t>
      </w:r>
      <w:r>
        <w:rPr>
          <w:rFonts w:ascii="Garamond" w:hAnsi="Garamond" w:cs="Garamond"/>
          <w:sz w:val="22"/>
          <w:szCs w:val="22"/>
          <w:lang w:val="fr-FR"/>
        </w:rPr>
        <w:tab/>
        <w:t>Dates: 1662-</w:t>
      </w:r>
      <w:proofErr w:type="spellStart"/>
      <w:r>
        <w:rPr>
          <w:rFonts w:ascii="Garamond" w:hAnsi="Garamond" w:cs="Garamond"/>
          <w:sz w:val="22"/>
          <w:szCs w:val="22"/>
          <w:lang w:val="fr-FR"/>
        </w:rPr>
        <w:t>Nov</w:t>
      </w:r>
      <w:proofErr w:type="spellEnd"/>
      <w:r>
        <w:rPr>
          <w:rFonts w:ascii="Garamond" w:hAnsi="Garamond" w:cs="Garamond"/>
          <w:sz w:val="22"/>
          <w:szCs w:val="22"/>
          <w:lang w:val="fr-FR"/>
        </w:rPr>
        <w:t>-1705, Juin 1722-1869.  Quittances des emprunts publics: 1669-79, 1698-9-1705, 1760-1796. Taille des prêts: 1826-60.</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XXVII</w:t>
      </w:r>
      <w:r>
        <w:rPr>
          <w:rFonts w:ascii="Garamond" w:hAnsi="Garamond" w:cs="Garamond"/>
          <w:sz w:val="22"/>
          <w:szCs w:val="22"/>
          <w:lang w:val="fr-FR"/>
        </w:rPr>
        <w:tab/>
        <w:t>Dates: Août 1695-Août 1867. Quittances des emprunts publics: 1698-1721, and 1760-1796. Taille des prêts: 1809-10, 1820-21, 1826-67.</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 xml:space="preserve">Etude XLIII </w:t>
      </w:r>
      <w:r>
        <w:rPr>
          <w:rFonts w:ascii="Garamond" w:hAnsi="Garamond" w:cs="Garamond"/>
          <w:sz w:val="22"/>
          <w:szCs w:val="22"/>
          <w:lang w:val="fr-FR"/>
        </w:rPr>
        <w:tab/>
        <w:t xml:space="preserve">Dates: 1664, Sept. 1685-Déc. 1819, Oct. 1824-1869. Quittances des emprunts publics: 1698-1721, 1760-1796. Taille des prêts: 1826-69. </w:t>
      </w:r>
    </w:p>
    <w:p w:rsidR="00B26158" w:rsidRDefault="00B26158" w:rsidP="00B26158">
      <w:pPr>
        <w:pStyle w:val="Normalcentr"/>
      </w:pPr>
      <w:r>
        <w:t>Etude XLIX</w:t>
      </w:r>
      <w:r>
        <w:tab/>
        <w:t>Dates: 1660-Mar 1679, Sept. 85-Fév. 1694. Quittances des emprunts publics: aucune. Taille des prêts: pas de relevé.</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LXII</w:t>
      </w:r>
      <w:r>
        <w:rPr>
          <w:rFonts w:ascii="Garamond" w:hAnsi="Garamond" w:cs="Garamond"/>
          <w:sz w:val="22"/>
          <w:szCs w:val="22"/>
          <w:lang w:val="fr-FR"/>
        </w:rPr>
        <w:tab/>
        <w:t>Dates: 1660-Avril 1670, Sept. 1670-</w:t>
      </w:r>
      <w:proofErr w:type="spellStart"/>
      <w:r>
        <w:rPr>
          <w:rFonts w:ascii="Garamond" w:hAnsi="Garamond" w:cs="Garamond"/>
          <w:sz w:val="22"/>
          <w:szCs w:val="22"/>
          <w:lang w:val="fr-FR"/>
        </w:rPr>
        <w:t>Oct</w:t>
      </w:r>
      <w:proofErr w:type="spellEnd"/>
      <w:r>
        <w:rPr>
          <w:rFonts w:ascii="Garamond" w:hAnsi="Garamond" w:cs="Garamond"/>
          <w:sz w:val="22"/>
          <w:szCs w:val="22"/>
          <w:lang w:val="fr-FR"/>
        </w:rPr>
        <w:t xml:space="preserve"> 1686, Jan. 1687-Sept. 1864, Juillet 1868-1869. Quittances des emprunts publics: 1698-1721, 1760:1796. Taille des prêts: 1826-69.</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LXX</w:t>
      </w:r>
      <w:r>
        <w:rPr>
          <w:rFonts w:ascii="Garamond" w:hAnsi="Garamond" w:cs="Garamond"/>
          <w:sz w:val="22"/>
          <w:szCs w:val="22"/>
          <w:lang w:val="fr-FR"/>
        </w:rPr>
        <w:tab/>
        <w:t>Dates: 1660-Fév. 1662, Juin 1683-1690, Fév. 1692-Mars 1794, Sept. 1794-1869. Quittances des emprunts publics: 1698-1721, 1760-1796. Taille des prêts: 1826-69.</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LXXII</w:t>
      </w:r>
      <w:r>
        <w:rPr>
          <w:rFonts w:ascii="Garamond" w:hAnsi="Garamond" w:cs="Garamond"/>
          <w:sz w:val="22"/>
          <w:szCs w:val="22"/>
          <w:lang w:val="fr-FR"/>
        </w:rPr>
        <w:tab/>
        <w:t xml:space="preserve">Dates:1660-1687. </w:t>
      </w:r>
      <w:proofErr w:type="gramStart"/>
      <w:r>
        <w:rPr>
          <w:rFonts w:ascii="Garamond" w:hAnsi="Garamond" w:cs="Garamond"/>
          <w:sz w:val="22"/>
          <w:szCs w:val="22"/>
          <w:lang w:val="fr-FR"/>
        </w:rPr>
        <w:t>Quittances</w:t>
      </w:r>
      <w:proofErr w:type="gramEnd"/>
      <w:r>
        <w:rPr>
          <w:rFonts w:ascii="Garamond" w:hAnsi="Garamond" w:cs="Garamond"/>
          <w:sz w:val="22"/>
          <w:szCs w:val="22"/>
          <w:lang w:val="fr-FR"/>
        </w:rPr>
        <w:t xml:space="preserve"> des emprunts publics: aucune, Taille des prêts: pas de relevé.</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LXXVIII</w:t>
      </w:r>
      <w:r>
        <w:rPr>
          <w:rFonts w:ascii="Garamond" w:hAnsi="Garamond" w:cs="Garamond"/>
          <w:sz w:val="22"/>
          <w:szCs w:val="22"/>
          <w:lang w:val="fr-FR"/>
        </w:rPr>
        <w:tab/>
        <w:t>Dates:1660-1661, 1667-1869. Quittances des emprunts publics: 1698-1721,1760-96. Taille des prêts: 1816-1824, 1826-69.</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CXI</w:t>
      </w:r>
      <w:r>
        <w:rPr>
          <w:rFonts w:ascii="Garamond" w:hAnsi="Garamond" w:cs="Garamond"/>
          <w:sz w:val="22"/>
          <w:szCs w:val="22"/>
          <w:lang w:val="fr-FR"/>
        </w:rPr>
        <w:tab/>
        <w:t>Dates:1661-Mai1685, Août 1694-Mars 1794, Oct. 1794-1869. Quittances des emprunts publics: 1698-1731, 1748-1796. Taille des prêts: 1799-1869.</w:t>
      </w:r>
    </w:p>
    <w:p w:rsidR="00B26158" w:rsidRDefault="00B26158" w:rsidP="00B26158">
      <w:pPr>
        <w:tabs>
          <w:tab w:val="left" w:pos="1800"/>
        </w:tabs>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CXV</w:t>
      </w:r>
      <w:r>
        <w:rPr>
          <w:rFonts w:ascii="Garamond" w:hAnsi="Garamond" w:cs="Garamond"/>
          <w:sz w:val="22"/>
          <w:szCs w:val="22"/>
          <w:lang w:val="fr-FR"/>
        </w:rPr>
        <w:tab/>
        <w:t>Dates:1660-1869. Quittances des emprunts publics: 1698-1721, et 1760-1796. Taille des prêts: 1822, 1824, 1826-1869. Second notaire de 1746 à 1767.</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lastRenderedPageBreak/>
        <w:t>Etude CXVII</w:t>
      </w:r>
      <w:r>
        <w:rPr>
          <w:rFonts w:ascii="Garamond" w:hAnsi="Garamond" w:cs="Garamond"/>
          <w:sz w:val="22"/>
          <w:szCs w:val="22"/>
          <w:lang w:val="fr-FR"/>
        </w:rPr>
        <w:tab/>
        <w:t>Dates:1660-Sept. 1666, Jan. 1670-Août. 1677, Juin1678-1869. Quittances des emprunts publics: 1698-1721, et 1760-1796. Taille des prêts: 1822, 1824, 1826-1869.  Second notaire de 1660 à Fév. 1744.</w:t>
      </w: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Dans cette liste, le premier ensemble de dates se réfère aux périodes pour lesquelles nous avons compté les prêts et les remboursements dans les répertoires des études. Au début de notre recherche, nous n’avions pas isolé les remboursements de prêts publics des autres quittances. La liste ci-dessus indique donc les années pour lesquelles nous avons fait cette distinction; pour les autres années, on ne connaît que le total des quittances privées et des quittances des emprunts publics.</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 xml:space="preserve">Le second ensemble de dates mentionne les années pour lesquelles nous avons relevé le montant des contrats (leur taille) non pas à partir des minutes elles-mêmes mais à partir des répertoires. Bien que cette source indique parfois le montant des prêts dès le début du XIXe siècle, nous ne l’avons pas utilisé systématiquement avant 1826. Enfin, dans quelques cas, on mentionne un troisième ensemble de dates pour les années pendant lesquelles deux notaires se partagent une même étude. </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Echantillon détaillé</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ab/>
        <w:t>L’échantillon détaillé de prêts repose sur l’étude des prêts conservés dans les minutes des études IX, XXI, XLIII, LXII, LXX, LXXVIII et CXV. Au départ nous pensions examiner les actes de prêts de chaque étude environ une fois tous les trente ou quarante ans de 1700 à 1840 mais l’objectif initial a été un peu modifié. Parfois malgré nous, car certaines années ou fractions d’années de quelque</w:t>
      </w:r>
      <w:r w:rsidR="000D294D">
        <w:rPr>
          <w:rFonts w:ascii="Garamond" w:hAnsi="Garamond" w:cs="Garamond"/>
          <w:sz w:val="22"/>
          <w:szCs w:val="22"/>
          <w:lang w:val="fr-FR"/>
        </w:rPr>
        <w:t>s études n’ont pu être consultées</w:t>
      </w:r>
      <w:r>
        <w:rPr>
          <w:rFonts w:ascii="Garamond" w:hAnsi="Garamond" w:cs="Garamond"/>
          <w:sz w:val="22"/>
          <w:szCs w:val="22"/>
          <w:lang w:val="fr-FR"/>
        </w:rPr>
        <w:t xml:space="preserve">. Mais aussi volontairement car nous avons souhaité compléter ces premiers dépouillements pour disposer de plus de coupes entre 1700 et 1840, pour couvrir une période plus longue (incluant dès lors les années 1662 et 1690) et pour disposer de sous-échantillons (les uns échelonnés approximativement de dix ans en dix ans, les autres plus fréquents encore portant sur les décennies 1750 et 1760).  Enfin, dans la mesure où il faut du temps pour accéder à une liasse donnée aux Archives Nationales, nous avons relevé les prêts conservés dans toute liasse commandée même lorsqu’ils sont réalisés un peu avant ou un peu après l’année étudiée. </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Pour la première année considérée –1662 – certaines liasses en mauvais état ne sont pas accessibles mais, hormis ces exceptions, nous avons relevé tous les actes consultables soit : étude IX, 427 (Janvier à Septembre 1662); XXI, 181 et 182 (Janvier à Novembre 1662); XLIII, 103 à 106 (année entière); LXII, 186 à 187 (année entière); LXX, 172 (Janvier et Février 1662); LXXVIII, 292 et 293 (Janvier à Septembre 1662); CXV, 156 à 159 et 199 (année entière).</w:t>
      </w:r>
    </w:p>
    <w:p w:rsidR="00B26158" w:rsidRDefault="00B26158" w:rsidP="00B26158">
      <w:pPr>
        <w:pStyle w:val="Corpsdetexte2"/>
        <w:ind w:right="0" w:firstLine="720"/>
      </w:pPr>
      <w:r>
        <w:lastRenderedPageBreak/>
        <w:t>Pour les autres coupes (à partir de 1690 donc), sans plus rappeler ici les cotes détaillées de toutes les liasses, nous nous limitons ci dessous à indiquer pour une étude donnée les mois et les années pour lesquels nous avons dépouillé les contrats de prêt. Les chercheurs intéressés pourront ainsi retrouver les documents et donc les contrats de nos échantillons. Ajoutons que, dans certains cas, les minutes d’une étude ont été dépouillées telle mois voire telle année sans qu’on n’y rencontre aucun prêt. Enfin, dans la liste ci-dessous, si les mois ne sont pas précisés pour une année donnée, c’est que le dépouillement porte sur l’année entière:</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IX: 1690 (Janvier); 1700 (tous les mois sauf Février); 1710 (Janvier et Février); 1730 (Janvier à Mai); 1740; 1750 (Janvier à Mars); 1760 (tous les mois sauf Avril et Septembre); 1761; 1770; 1780 (tous les mois sauf Juin et Novembre); 1799 (Novembre et Décembre); 1800 (Janvier); 1809 (Décembre); 1810 (Janvier); 1820 (Janvier); 1830 (Février); 1840 (tous les mois sauf Novembre et Mars).</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XXI: 1690; 1700 (tous les mois sauf Février, Juin et Août); 1730 (Février, Mars, April et Juin); 1740 (tous les mois sauf Novembre); 1750 (Janvier à Mars); 1760 (tous les mois sauf Janvier, Février et Octobre); 1761 (tous les mois sauf Février, Mars et Juin); 1766 (tous les mois sauf Juillet); 1770; 1780 (tous les mois sauf de Mars à Juin); 1781 (Mars à Août); 1799 (Décembre); 1800 (Janvier); 1807 (tous les mois sauf Octobre); 1810 (Janvier à Mars); 1820 (Janvier); 1830 (Janvier à Mars); 1840 (tous les mois sauf Janvier, Août et Octobre).</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XLIII: 1700 (Janvier à Août); 1740 (tous les mois sauf Avril); 1780; 1807; 1840.</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LXII: 1690; 1700 (tous les mois sauf Février); 1740; 1780 (tous les mois sauf Mai); 1800 (Janvier à Mars); 1807 (tous les mois sauf Octobre et Décembre); 1810 (Janvier à Avril); 1820 (Janvier à Mars); 1830 (Janvier et Février); 1840 (tous les mois sauf Février, Août et Décembre).</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LXX: 1690 (Janvier et Février); 1700 (Avril à Décembre); 1710 (Janvier à Avril, Juin); 1720 (Janvier et Février); 1730; 1740 (tous les mois sauf Août); 1750 (Janvier à Juin); 1751; 1752; 1753; 1754; 1755; 1756; 1757; 1758; 1759; 1760 (tous les mois sauf Décembre); 1761 (tous les mois sauf Février et Avril); 1770 (Janvier et Février); 1780 (Janvier à Août, Octobre); 1788 (Janvier à Juin); 1799 (Octobre à Décembre); 1810 (Janvier); 1820 (Janvier); 1830 (Janvier); 1840 (tous les mois sauf Janvier).</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 xml:space="preserve">Etude LXXVIII: 1690 (Janvier); 1700 (Janvier à Septembre); 1730 (Janvier à Mars); 1740 ; 1750 (Janvier); 1760 (Janvier); 1761 (tous les mois sauf Juin); 1762 (Janvier à Août, </w:t>
      </w:r>
      <w:r>
        <w:rPr>
          <w:rFonts w:ascii="Garamond" w:hAnsi="Garamond" w:cs="Garamond"/>
          <w:sz w:val="22"/>
          <w:szCs w:val="22"/>
          <w:lang w:val="fr-FR"/>
        </w:rPr>
        <w:lastRenderedPageBreak/>
        <w:t>Octobre); 1766 (tous les mois sauf Septembre et Décembre); 1770; 1780 (tous les mois sauf Novembre); 1790 (Janvier); 1800 (Janvier); 1807 (tous les mois sauf Décembre); 1810 (Janvier et Février); 1820 (Janvier à Mars); 1830 (Janvier à Mars); 1840 (tous les mois sauf Mars, Mai et Novembre).</w:t>
      </w:r>
    </w:p>
    <w:p w:rsidR="00B26158" w:rsidRDefault="00B26158" w:rsidP="00B26158">
      <w:pPr>
        <w:spacing w:line="360" w:lineRule="auto"/>
        <w:ind w:left="720" w:right="720" w:hanging="720"/>
        <w:jc w:val="both"/>
        <w:rPr>
          <w:rFonts w:ascii="Garamond" w:hAnsi="Garamond" w:cs="Garamond"/>
          <w:sz w:val="22"/>
          <w:szCs w:val="22"/>
          <w:lang w:val="fr-FR"/>
        </w:rPr>
      </w:pPr>
      <w:r>
        <w:rPr>
          <w:rFonts w:ascii="Garamond" w:hAnsi="Garamond" w:cs="Garamond"/>
          <w:sz w:val="22"/>
          <w:szCs w:val="22"/>
          <w:lang w:val="fr-FR"/>
        </w:rPr>
        <w:t>Etude CXV: 1700 (tous les mois sauf Octobre et Décembre); 1710 (Janvier à Mars); 1720 (Janvier); 1730 (Janvier à Mars); 1740 (Janvier à Août); 1751; 1752 (la liasse de Septembre à Décembre manque); 1753; 1754; 1755; 1756; 1757; 1758; 1759; 1760; 1761; 1770 (Janvier et Février); 1780 (Janvier et Février); 1788 (Janvier et Février); 1799 (Septembre à Novembre); 1807 (tous les mois sauf Septembre); 1809 (Novembre et Décembre); 1810 (Janvier à Mars); 1820 (Janvier et Février); 1830 (Janvier à Avril); 1840 (Février à Juin, Août à Octobre).</w:t>
      </w:r>
    </w:p>
    <w:p w:rsidR="00B26158" w:rsidRDefault="00B26158" w:rsidP="00B26158">
      <w:pPr>
        <w:spacing w:line="360" w:lineRule="auto"/>
        <w:ind w:left="720" w:right="720" w:hanging="720"/>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b/>
          <w:bCs/>
          <w:sz w:val="22"/>
          <w:szCs w:val="22"/>
          <w:lang w:val="fr-FR"/>
        </w:rPr>
        <w:tab/>
      </w:r>
      <w:r>
        <w:rPr>
          <w:rFonts w:ascii="Garamond" w:hAnsi="Garamond" w:cs="Garamond"/>
          <w:sz w:val="22"/>
          <w:szCs w:val="22"/>
          <w:lang w:val="fr-FR"/>
        </w:rPr>
        <w:t xml:space="preserve">Cet échantillon détaillé de minutes reste très insuffisant pour deux périodes : l’affaire Law et la Révolution.  Nous l’avons donc complété par un échantillon complémentaire portant sur les années 1718-20 et 1790-96.  Pour 1718-20,  nous avons dépouillé une liasse sur cinq de huit de nos dix études:  IX 608, 614; 112, 117, 122, 127, 131; XLIII 309, 314,  LXII 312, 317, 322;  LXX 258; 263; LXXVIII 585, 590, 295, 600, 605; CXI 90, 95, 100, 105, 110, 115, 120, 125; CXV 375, 380, 386, 390.  </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Pour 1790-96, le dépouillement complémentaire porte sur les cotes suivantes :</w:t>
      </w:r>
      <w:r>
        <w:rPr>
          <w:rFonts w:ascii="Garamond" w:hAnsi="Garamond" w:cs="Garamond"/>
          <w:i/>
          <w:iCs/>
          <w:sz w:val="22"/>
          <w:szCs w:val="22"/>
          <w:lang w:val="fr-FR"/>
        </w:rPr>
        <w:t xml:space="preserve"> </w:t>
      </w:r>
      <w:r>
        <w:rPr>
          <w:rFonts w:ascii="Garamond" w:hAnsi="Garamond" w:cs="Garamond"/>
          <w:sz w:val="22"/>
          <w:szCs w:val="22"/>
          <w:lang w:val="fr-FR"/>
        </w:rPr>
        <w:t>IX 844; XXI 571, 573, 574, 583, 584, 589, 590, 592, 593, 594, 595, 606, 607, 610, 612; XXVII 502, 503, 505, 506, 507, 518, 527, 529, 531, 534, 535, 536, 537, 541, 542, 543, XLIII 578, 579, 582, 587, 588; LXII 656, 658, 659, 660, 661, 691, 694, 695, 696, 697, 699, 703, 704, 717, 718, 719, 720, 723, 724; LXVIII 636; LXX 588, 589, 590, 591, 592, 599, 600, 603, 604, 605, 611, 612, 613, 614, 615, 616; LXXVIII, 952, 953, 958, 962, 963, 972, 975, 976, 977, 982, 983, 985, 989, 998, 999, 1001, 1002, 1003; CXI 387, 388, 389, 390, 391, 397, 400, 402, 407, 408, 409, 410; CXV 959, 965, 966, 967, 968, 969, 970, 996, 997, 1000, 1003, 1005 1006, 1008, 1014, 1015, 1018, 1019, 1021, 1022, 1023; CXVII 946, 947, 949, 950, 951, 952, 953, 958, 959, 961, 963, 964, 965, 967,  970, 971, 975, 973,  976, 977.</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Enfin nous avons dépouillé les tailles des prêts et leur durée pour les études et les années suivantes:</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En 1665-1666, études IX, XXI, LXII, LXXVIII.</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En 1670, études IX 440, 44;  XXVII, LXII, 203; LXXVIII, 281, 314; CXVII, 75, 76, 77, 78.</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En 1682, études  IX, 471, 472, 473, 474; LXII 225, 226, 227; LXVIII, 372, 373, 374, 375, 376, 377; CXVII, 119.</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lastRenderedPageBreak/>
        <w:t>En 1690, études IX, XXI, LXII, LXX, LXXVIII.</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En 1715, études IX, XXI, LXII, LXX, LXXVIII, CXV.</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En 1725, études IX 626, 627; XLIII, 351, 352; XI ,301; CXVII, 341.</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 xml:space="preserve">En 1788, études XLIII (Mars); LXII (Janvier à Avril); LXXVIII (Janvier à Avril). </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Autres Archives</w:t>
      </w:r>
    </w:p>
    <w:p w:rsidR="00B26158" w:rsidRDefault="00B26158" w:rsidP="00B26158">
      <w:pPr>
        <w:spacing w:line="360" w:lineRule="auto"/>
        <w:ind w:firstLine="720"/>
        <w:jc w:val="both"/>
        <w:rPr>
          <w:rFonts w:ascii="Garamond" w:hAnsi="Garamond" w:cs="Garamond"/>
          <w:sz w:val="22"/>
          <w:szCs w:val="22"/>
          <w:lang w:val="fr-FR"/>
        </w:rPr>
      </w:pPr>
      <w:r>
        <w:rPr>
          <w:rFonts w:ascii="Garamond" w:hAnsi="Garamond" w:cs="Garamond"/>
          <w:sz w:val="22"/>
          <w:szCs w:val="22"/>
          <w:lang w:val="fr-FR"/>
        </w:rPr>
        <w:t>Sans chercher l’exhaustivité, nous devons encore citer parmi les principales sources utilisées :</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Les Archives de la Compagnie des Notaires de Paris</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Et tout spécialement les Boites 41 et 46 ;</w:t>
      </w:r>
    </w:p>
    <w:p w:rsidR="00B26158" w:rsidRDefault="00B26158" w:rsidP="00B26158">
      <w:pPr>
        <w:spacing w:line="360" w:lineRule="auto"/>
        <w:ind w:left="720"/>
        <w:jc w:val="both"/>
        <w:rPr>
          <w:rFonts w:ascii="Garamond" w:hAnsi="Garamond" w:cs="Garamond"/>
          <w:sz w:val="22"/>
          <w:szCs w:val="22"/>
          <w:lang w:val="fr-FR"/>
        </w:rPr>
      </w:pPr>
      <w:proofErr w:type="gramStart"/>
      <w:r>
        <w:rPr>
          <w:rFonts w:ascii="Garamond" w:hAnsi="Garamond" w:cs="Garamond"/>
          <w:sz w:val="22"/>
          <w:szCs w:val="22"/>
          <w:lang w:val="fr-FR"/>
        </w:rPr>
        <w:t>les</w:t>
      </w:r>
      <w:proofErr w:type="gramEnd"/>
      <w:r>
        <w:rPr>
          <w:rFonts w:ascii="Garamond" w:hAnsi="Garamond" w:cs="Garamond"/>
          <w:sz w:val="22"/>
          <w:szCs w:val="22"/>
          <w:lang w:val="fr-FR"/>
        </w:rPr>
        <w:t xml:space="preserve"> volumes des Délibérations portant sur les années 1579-99, 1703-19, 1719-34, 1734-66, 1766-88, 1789-91 et 1839-42 ;</w:t>
      </w:r>
    </w:p>
    <w:p w:rsidR="00B26158" w:rsidRDefault="00B26158" w:rsidP="00B26158">
      <w:pPr>
        <w:spacing w:line="360" w:lineRule="auto"/>
        <w:ind w:left="720"/>
        <w:jc w:val="both"/>
        <w:rPr>
          <w:rFonts w:ascii="Garamond" w:hAnsi="Garamond" w:cs="Garamond"/>
          <w:sz w:val="22"/>
          <w:szCs w:val="22"/>
          <w:lang w:val="fr-FR"/>
        </w:rPr>
      </w:pPr>
      <w:proofErr w:type="gramStart"/>
      <w:r>
        <w:rPr>
          <w:rFonts w:ascii="Garamond" w:hAnsi="Garamond" w:cs="Garamond"/>
          <w:sz w:val="22"/>
          <w:szCs w:val="22"/>
          <w:lang w:val="fr-FR"/>
        </w:rPr>
        <w:t>et</w:t>
      </w:r>
      <w:proofErr w:type="gramEnd"/>
      <w:r>
        <w:rPr>
          <w:rFonts w:ascii="Garamond" w:hAnsi="Garamond" w:cs="Garamond"/>
          <w:sz w:val="22"/>
          <w:szCs w:val="22"/>
          <w:lang w:val="fr-FR"/>
        </w:rPr>
        <w:t xml:space="preserve"> les dossiers individuels des notaires (établis lors des entrées et des sorties de la profession). On a utilisé ici </w:t>
      </w:r>
      <w:proofErr w:type="gramStart"/>
      <w:r>
        <w:rPr>
          <w:rFonts w:ascii="Garamond" w:hAnsi="Garamond" w:cs="Garamond"/>
          <w:sz w:val="22"/>
          <w:szCs w:val="22"/>
          <w:lang w:val="fr-FR"/>
        </w:rPr>
        <w:t>les dossier</w:t>
      </w:r>
      <w:proofErr w:type="gramEnd"/>
      <w:r>
        <w:rPr>
          <w:rFonts w:ascii="Garamond" w:hAnsi="Garamond" w:cs="Garamond"/>
          <w:sz w:val="22"/>
          <w:szCs w:val="22"/>
          <w:lang w:val="fr-FR"/>
        </w:rPr>
        <w:t xml:space="preserve"> des notaires admis entre 1810 et 1870.</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Archives Départementales</w:t>
      </w: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Outre des dossiers sur tel ou tel point particulier (Côte d’Or C 4565), nous avons utilisé les archives départementales de façon systématique pour évaluer l’activité du crédit notarial en province. Les sources varient selon que les archives du Contrôle des actes et de l’Enregistrement sont bien conservées ou qu’il faut recourir aux archives notariales. La liste qui suit indique pour chaque marché étudié (identifié par la ville autour duquel il est organisé) les Archives départementales où sont conservés les documents et leurs cotes :</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Apt : AD Vaucluse, 2C 62-4, 19Q 37-8, 86-88.</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Avignon :  AD Vaucluse, 19Q 852-3, 1840 946-48.</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 xml:space="preserve">Bar-sur-Seine : AD Aube, IIC 434-8, 4Q 3769-70, 3790-4, 3828-31, 3873-6. </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Château-Thierry : AD Aisne, C1813-1815, 68Q 56-58.</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Dijon, AD Côte d'Or : C* 8780-83 et 9Q2 45-50, 163-170.</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 xml:space="preserve">L'Isle-sur-la-Sorgue : 3E37 583, 554, 568, 654, 667 688, 632; 3E 38 1838, 1902, 1997; 19Q 37-8, 86-8,  852, 946-8, 7985-90, 7915-8, 19Q 29-30. </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Lasalle et Saint-Jean-du-Gard : AD Gard, 6M728 et IIE51 437, 438, 603 722,  16Q1, 28Q1.</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 xml:space="preserve">Nuits-Saint-Georges : AD Côte d'Or, C*9879-81. </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lastRenderedPageBreak/>
        <w:t>Montbard : AD Côte d'Or, C* 9373-74, 19 Q 111-12.</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 xml:space="preserve">Maubeuge : AD Nord, J942 115-7, 138 ; J1132 1, 6, 10, 24-5 ; J1133 15, 23, 35-6; J1134 12, 21, 32, 68-72. </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 xml:space="preserve">Privas : AD Ardèche, 2C 2393-4 ; 3Q 1608-9, 1618-9, 1644-5 ; 3Q 2073-4, 2088. </w:t>
      </w:r>
    </w:p>
    <w:p w:rsidR="00B26158" w:rsidRPr="00B26158" w:rsidRDefault="00B26158" w:rsidP="00B26158">
      <w:pPr>
        <w:spacing w:line="360" w:lineRule="auto"/>
        <w:ind w:left="1152" w:right="720"/>
        <w:jc w:val="both"/>
        <w:rPr>
          <w:rFonts w:ascii="Garamond" w:hAnsi="Garamond" w:cs="Garamond"/>
          <w:sz w:val="22"/>
          <w:szCs w:val="22"/>
        </w:rPr>
      </w:pPr>
      <w:r w:rsidRPr="00B26158">
        <w:rPr>
          <w:rFonts w:ascii="Garamond" w:hAnsi="Garamond" w:cs="Garamond"/>
          <w:sz w:val="22"/>
          <w:szCs w:val="22"/>
        </w:rPr>
        <w:t>Orange :  AD Vaucluse, 2C 11-13, 19Q 7915-8, 7985-7990</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 xml:space="preserve">Rouen : AD Seine-Maritime, 2C 1840-6 et 3Q38 212-6 </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 xml:space="preserve">Rugles : AD Eure, IIC 2428 ; 499Q 12, 17-8, 25-6, 42-4. </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 xml:space="preserve">Salon : AD Bouches-du-Rhône, 2C2012-14 et XII Q25/2 52-53 </w:t>
      </w:r>
    </w:p>
    <w:p w:rsidR="00B26158" w:rsidRDefault="00B26158" w:rsidP="00B26158">
      <w:pPr>
        <w:spacing w:line="360" w:lineRule="auto"/>
        <w:ind w:left="1152" w:right="720"/>
        <w:jc w:val="both"/>
        <w:rPr>
          <w:rFonts w:ascii="Garamond" w:hAnsi="Garamond" w:cs="Garamond"/>
          <w:sz w:val="22"/>
          <w:szCs w:val="22"/>
          <w:lang w:val="fr-FR"/>
        </w:rPr>
      </w:pPr>
      <w:r>
        <w:rPr>
          <w:rFonts w:ascii="Garamond" w:hAnsi="Garamond" w:cs="Garamond"/>
          <w:sz w:val="22"/>
          <w:szCs w:val="22"/>
          <w:lang w:val="fr-FR"/>
        </w:rPr>
        <w:t>Tréguier : AD Cotes-d'Armor, 2C 7527-9 et 3Q 5710-11.</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tabs>
          <w:tab w:val="left" w:pos="2694"/>
        </w:tabs>
        <w:spacing w:line="360" w:lineRule="auto"/>
        <w:jc w:val="both"/>
        <w:rPr>
          <w:rFonts w:ascii="Garamond" w:hAnsi="Garamond" w:cs="Garamond"/>
          <w:sz w:val="22"/>
          <w:szCs w:val="22"/>
          <w:lang w:val="fr-FR"/>
        </w:rPr>
      </w:pPr>
      <w:r>
        <w:rPr>
          <w:rFonts w:ascii="Garamond" w:hAnsi="Garamond" w:cs="Garamond"/>
          <w:sz w:val="22"/>
          <w:szCs w:val="22"/>
          <w:lang w:val="fr-FR"/>
        </w:rPr>
        <w:t>Archives du Ministère des Finances</w:t>
      </w: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ab/>
        <w:t>B 38930, B 31141, 38916-19, 38921, 38923</w:t>
      </w:r>
    </w:p>
    <w:p w:rsidR="00B26158" w:rsidRDefault="00B26158" w:rsidP="00B26158">
      <w:pPr>
        <w:spacing w:line="360" w:lineRule="auto"/>
        <w:jc w:val="both"/>
        <w:rPr>
          <w:rFonts w:ascii="Garamond" w:hAnsi="Garamond" w:cs="Garamond"/>
          <w:i/>
          <w:iCs/>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Archives Nationales</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BB</w:t>
      </w:r>
      <w:r>
        <w:rPr>
          <w:rFonts w:ascii="Garamond" w:hAnsi="Garamond" w:cs="Garamond"/>
          <w:sz w:val="22"/>
          <w:szCs w:val="22"/>
          <w:vertAlign w:val="superscript"/>
          <w:lang w:val="fr-FR"/>
        </w:rPr>
        <w:t xml:space="preserve">10 </w:t>
      </w:r>
      <w:r>
        <w:rPr>
          <w:rFonts w:ascii="Garamond" w:hAnsi="Garamond" w:cs="Garamond"/>
          <w:sz w:val="22"/>
          <w:szCs w:val="22"/>
          <w:lang w:val="fr-FR"/>
        </w:rPr>
        <w:t>100, 553, 709, 824, 846, 1064, 1065, 1206B, 1230B, 1244, 1260B, 1326B, 1370, 1444, 1578, 1625, 1634, 1636, 1637, 1645, 1652 1661, 1675, 1678, 1680</w:t>
      </w:r>
    </w:p>
    <w:p w:rsidR="00B26158" w:rsidRDefault="00B26158" w:rsidP="00B26158">
      <w:pPr>
        <w:spacing w:line="360" w:lineRule="auto"/>
        <w:ind w:left="720"/>
        <w:jc w:val="both"/>
        <w:rPr>
          <w:rFonts w:ascii="Garamond" w:hAnsi="Garamond" w:cs="Garamond"/>
          <w:sz w:val="22"/>
          <w:szCs w:val="22"/>
          <w:lang w:val="fr-FR"/>
        </w:rPr>
      </w:pP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P 5934,  5936, 5937,  5939, 5947, 5970, 5973, 5975, 6055, 6056, 6057, 6115, 6120.</w:t>
      </w:r>
    </w:p>
    <w:p w:rsidR="00B26158" w:rsidRDefault="00B26158" w:rsidP="00B26158">
      <w:pPr>
        <w:spacing w:line="360" w:lineRule="auto"/>
        <w:ind w:left="720"/>
        <w:jc w:val="both"/>
        <w:rPr>
          <w:rFonts w:ascii="Garamond" w:hAnsi="Garamond" w:cs="Garamond"/>
          <w:sz w:val="22"/>
          <w:szCs w:val="22"/>
          <w:lang w:val="fr-FR"/>
        </w:rPr>
      </w:pP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Y 9529, 17609, Y 18581 (registre 4).</w:t>
      </w:r>
    </w:p>
    <w:p w:rsidR="00B26158" w:rsidRDefault="00B26158" w:rsidP="00B26158">
      <w:pPr>
        <w:spacing w:line="360" w:lineRule="auto"/>
        <w:ind w:left="720"/>
        <w:jc w:val="both"/>
        <w:rPr>
          <w:rFonts w:ascii="Garamond" w:hAnsi="Garamond" w:cs="Garamond"/>
          <w:sz w:val="22"/>
          <w:szCs w:val="22"/>
          <w:lang w:val="fr-FR"/>
        </w:rPr>
      </w:pP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Enfin, le dépouillement exhaustif des contrats réalisés par les notaires parisiens en 1751, 1761 et 1851, leur saisie informatique et leur constitution en base donnée a constitué un instrument de recherche particulièrement précieux.</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Bibliothèque Nationale</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 xml:space="preserve">F 23717 ("Sentence rendue en la chambre criminelle du Châtelet de Paris, qui condamne André-Guillaume </w:t>
      </w:r>
      <w:proofErr w:type="spellStart"/>
      <w:r>
        <w:rPr>
          <w:rFonts w:ascii="Garamond" w:hAnsi="Garamond" w:cs="Garamond"/>
          <w:sz w:val="22"/>
          <w:szCs w:val="22"/>
          <w:lang w:val="fr-FR"/>
        </w:rPr>
        <w:t>Deshayes</w:t>
      </w:r>
      <w:proofErr w:type="spellEnd"/>
      <w:r>
        <w:rPr>
          <w:rFonts w:ascii="Garamond" w:hAnsi="Garamond" w:cs="Garamond"/>
          <w:sz w:val="22"/>
          <w:szCs w:val="22"/>
          <w:lang w:val="fr-FR"/>
        </w:rPr>
        <w:t xml:space="preserve">" (24 Février 1764)). </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 xml:space="preserve">Z 51471 </w:t>
      </w:r>
      <w:r>
        <w:rPr>
          <w:rFonts w:ascii="Garamond" w:hAnsi="Garamond" w:cs="Garamond"/>
          <w:i/>
          <w:iCs/>
          <w:sz w:val="22"/>
          <w:szCs w:val="22"/>
          <w:lang w:val="fr-FR"/>
        </w:rPr>
        <w:t>Journal encyclopédique</w:t>
      </w:r>
      <w:r>
        <w:rPr>
          <w:rFonts w:ascii="Garamond" w:hAnsi="Garamond" w:cs="Garamond"/>
          <w:sz w:val="22"/>
          <w:szCs w:val="22"/>
          <w:lang w:val="fr-FR"/>
        </w:rPr>
        <w:t xml:space="preserve"> (Mars 1764). </w:t>
      </w:r>
    </w:p>
    <w:p w:rsidR="00B26158" w:rsidRDefault="00B26158" w:rsidP="00B26158">
      <w:pPr>
        <w:pStyle w:val="Retraitcorpsdetexte2"/>
        <w:spacing w:line="360" w:lineRule="auto"/>
        <w:jc w:val="both"/>
        <w:rPr>
          <w:rFonts w:ascii="Garamond" w:hAnsi="Garamond" w:cs="Garamond"/>
          <w:sz w:val="22"/>
          <w:szCs w:val="22"/>
          <w:lang w:val="fr-FR"/>
        </w:rPr>
      </w:pPr>
      <w:r>
        <w:rPr>
          <w:rFonts w:ascii="Garamond" w:hAnsi="Garamond" w:cs="Garamond"/>
          <w:sz w:val="22"/>
          <w:szCs w:val="22"/>
          <w:lang w:val="fr-FR"/>
        </w:rPr>
        <w:t>Fonds français 6680, Journal du libraire S. Hardy ("Notices d'événements remarquables et tels qu'ils proviennent à ma connaissance").</w:t>
      </w:r>
    </w:p>
    <w:p w:rsidR="00B26158" w:rsidRDefault="00B26158" w:rsidP="00B26158">
      <w:pPr>
        <w:spacing w:line="360" w:lineRule="auto"/>
        <w:ind w:left="720"/>
        <w:jc w:val="both"/>
        <w:rPr>
          <w:rFonts w:ascii="Garamond" w:hAnsi="Garamond" w:cs="Garamond"/>
          <w:sz w:val="22"/>
          <w:szCs w:val="22"/>
          <w:lang w:val="fr-FR"/>
        </w:rPr>
      </w:pPr>
      <w:r>
        <w:rPr>
          <w:rFonts w:ascii="Garamond" w:hAnsi="Garamond" w:cs="Garamond"/>
          <w:sz w:val="22"/>
          <w:szCs w:val="22"/>
          <w:lang w:val="fr-FR"/>
        </w:rPr>
        <w:t>Fonds Joly de Fleury, 385, 2148, 2150, 2425, 2538</w:t>
      </w:r>
      <w:r>
        <w:rPr>
          <w:rFonts w:ascii="Garamond" w:hAnsi="Garamond" w:cs="Garamond"/>
          <w:i/>
          <w:iCs/>
          <w:sz w:val="22"/>
          <w:szCs w:val="22"/>
          <w:lang w:val="fr-FR"/>
        </w:rPr>
        <w:t xml:space="preserve"> </w:t>
      </w:r>
    </w:p>
    <w:p w:rsidR="00B26158" w:rsidRDefault="00B26158" w:rsidP="00B26158">
      <w:pPr>
        <w:spacing w:line="360" w:lineRule="auto"/>
        <w:jc w:val="both"/>
        <w:rPr>
          <w:rFonts w:ascii="Garamond" w:hAnsi="Garamond" w:cs="Garamond"/>
          <w:sz w:val="22"/>
          <w:szCs w:val="22"/>
          <w:lang w:val="fr-FR"/>
        </w:rPr>
      </w:pPr>
    </w:p>
    <w:p w:rsidR="00B26158" w:rsidRDefault="00B26158" w:rsidP="00B26158">
      <w:pPr>
        <w:spacing w:line="360" w:lineRule="auto"/>
        <w:jc w:val="both"/>
        <w:rPr>
          <w:rFonts w:ascii="Garamond" w:hAnsi="Garamond" w:cs="Garamond"/>
          <w:sz w:val="22"/>
          <w:szCs w:val="22"/>
          <w:lang w:val="fr-FR"/>
        </w:rPr>
      </w:pPr>
      <w:r>
        <w:rPr>
          <w:rFonts w:ascii="Garamond" w:hAnsi="Garamond" w:cs="Garamond"/>
          <w:sz w:val="22"/>
          <w:szCs w:val="22"/>
          <w:lang w:val="fr-FR"/>
        </w:rPr>
        <w:t>Ajoutons encore cette autre source originale que constitue la base de données ARTFL des textes français qui est élaborée en commun par le Centre National de la Recherche Scientifique et l’Université de Chicago.</w:t>
      </w:r>
    </w:p>
    <w:p w:rsidR="00F848FD" w:rsidRPr="00B26158" w:rsidRDefault="00794BD0">
      <w:pPr>
        <w:rPr>
          <w:lang w:val="fr-FR"/>
        </w:rPr>
      </w:pPr>
    </w:p>
    <w:sectPr w:rsidR="00F848FD" w:rsidRPr="00B26158" w:rsidSect="00401A08">
      <w:headerReference w:type="default" r:id="rId7"/>
      <w:footerReference w:type="default" r:id="rId8"/>
      <w:pgSz w:w="12240" w:h="15840" w:code="1"/>
      <w:pgMar w:top="1417" w:right="1729" w:bottom="1417" w:left="1729" w:header="1440" w:footer="1440" w:gutter="0"/>
      <w:pgNumType w:start="324"/>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BD0" w:rsidRDefault="00794BD0" w:rsidP="00B26158">
      <w:pPr>
        <w:spacing w:line="240" w:lineRule="auto"/>
      </w:pPr>
      <w:r>
        <w:separator/>
      </w:r>
    </w:p>
  </w:endnote>
  <w:endnote w:type="continuationSeparator" w:id="0">
    <w:p w:rsidR="00794BD0" w:rsidRDefault="00794BD0" w:rsidP="00B2615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08" w:rsidRDefault="00401A08">
    <w:pPr>
      <w:pStyle w:val="Pieddepage"/>
      <w:framePr w:wrap="auto" w:vAnchor="text" w:hAnchor="margin" w:xAlign="right" w:y="1"/>
      <w:rPr>
        <w:rStyle w:val="Numrodepage"/>
      </w:rPr>
    </w:pPr>
  </w:p>
  <w:p w:rsidR="00401A08" w:rsidRDefault="00401A0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BD0" w:rsidRDefault="00794BD0" w:rsidP="00B26158">
      <w:pPr>
        <w:spacing w:line="240" w:lineRule="auto"/>
      </w:pPr>
      <w:r>
        <w:separator/>
      </w:r>
    </w:p>
  </w:footnote>
  <w:footnote w:type="continuationSeparator" w:id="0">
    <w:p w:rsidR="00794BD0" w:rsidRDefault="00794BD0" w:rsidP="00B2615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08" w:rsidRDefault="00401A08">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footnotePr>
    <w:footnote w:id="-1"/>
    <w:footnote w:id="0"/>
  </w:footnotePr>
  <w:endnotePr>
    <w:endnote w:id="-1"/>
    <w:endnote w:id="0"/>
  </w:endnotePr>
  <w:compat/>
  <w:rsids>
    <w:rsidRoot w:val="00B26158"/>
    <w:rsid w:val="000105B4"/>
    <w:rsid w:val="000D294D"/>
    <w:rsid w:val="00401A08"/>
    <w:rsid w:val="00794BD0"/>
    <w:rsid w:val="00865E0B"/>
    <w:rsid w:val="009E3D3F"/>
    <w:rsid w:val="00B26158"/>
    <w:rsid w:val="00D51F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158"/>
    <w:pPr>
      <w:autoSpaceDE w:val="0"/>
      <w:autoSpaceDN w:val="0"/>
      <w:spacing w:after="0" w:line="480" w:lineRule="auto"/>
    </w:pPr>
    <w:rPr>
      <w:rFonts w:ascii="Times New Roman" w:eastAsiaTheme="minorEastAsia" w:hAnsi="Times New Roman" w:cs="Times New Roman"/>
      <w:sz w:val="24"/>
      <w:szCs w:val="24"/>
      <w:lang w:val="en-US"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B26158"/>
    <w:pPr>
      <w:tabs>
        <w:tab w:val="center" w:pos="4320"/>
        <w:tab w:val="right" w:pos="8640"/>
      </w:tabs>
    </w:pPr>
  </w:style>
  <w:style w:type="character" w:customStyle="1" w:styleId="PieddepageCar">
    <w:name w:val="Pied de page Car"/>
    <w:basedOn w:val="Policepardfaut"/>
    <w:link w:val="Pieddepage"/>
    <w:uiPriority w:val="99"/>
    <w:rsid w:val="00B26158"/>
    <w:rPr>
      <w:rFonts w:ascii="Times New Roman" w:eastAsiaTheme="minorEastAsia" w:hAnsi="Times New Roman" w:cs="Times New Roman"/>
      <w:sz w:val="24"/>
      <w:szCs w:val="24"/>
      <w:lang w:val="en-US" w:eastAsia="fr-FR"/>
    </w:rPr>
  </w:style>
  <w:style w:type="character" w:styleId="Numrodepage">
    <w:name w:val="page number"/>
    <w:basedOn w:val="Policepardfaut"/>
    <w:uiPriority w:val="99"/>
    <w:rsid w:val="00B26158"/>
  </w:style>
  <w:style w:type="paragraph" w:styleId="En-tte">
    <w:name w:val="header"/>
    <w:basedOn w:val="Normal"/>
    <w:link w:val="En-tteCar"/>
    <w:uiPriority w:val="99"/>
    <w:rsid w:val="00B26158"/>
    <w:pPr>
      <w:tabs>
        <w:tab w:val="center" w:pos="4320"/>
        <w:tab w:val="right" w:pos="8640"/>
      </w:tabs>
    </w:pPr>
  </w:style>
  <w:style w:type="character" w:customStyle="1" w:styleId="En-tteCar">
    <w:name w:val="En-tête Car"/>
    <w:basedOn w:val="Policepardfaut"/>
    <w:link w:val="En-tte"/>
    <w:uiPriority w:val="99"/>
    <w:rsid w:val="00B26158"/>
    <w:rPr>
      <w:rFonts w:ascii="Times New Roman" w:eastAsiaTheme="minorEastAsia" w:hAnsi="Times New Roman" w:cs="Times New Roman"/>
      <w:sz w:val="24"/>
      <w:szCs w:val="24"/>
      <w:lang w:val="en-US" w:eastAsia="fr-FR"/>
    </w:rPr>
  </w:style>
  <w:style w:type="paragraph" w:styleId="Corpsdetexte2">
    <w:name w:val="Body Text 2"/>
    <w:basedOn w:val="Normal"/>
    <w:link w:val="Corpsdetexte2Car"/>
    <w:uiPriority w:val="99"/>
    <w:rsid w:val="00B26158"/>
    <w:pPr>
      <w:spacing w:line="360" w:lineRule="auto"/>
      <w:ind w:right="720"/>
      <w:jc w:val="both"/>
    </w:pPr>
    <w:rPr>
      <w:rFonts w:ascii="Garamond" w:hAnsi="Garamond" w:cs="Garamond"/>
      <w:sz w:val="22"/>
      <w:szCs w:val="22"/>
      <w:lang w:val="fr-FR"/>
    </w:rPr>
  </w:style>
  <w:style w:type="character" w:customStyle="1" w:styleId="Corpsdetexte2Car">
    <w:name w:val="Corps de texte 2 Car"/>
    <w:basedOn w:val="Policepardfaut"/>
    <w:link w:val="Corpsdetexte2"/>
    <w:uiPriority w:val="99"/>
    <w:rsid w:val="00B26158"/>
    <w:rPr>
      <w:rFonts w:ascii="Garamond" w:eastAsiaTheme="minorEastAsia" w:hAnsi="Garamond" w:cs="Garamond"/>
      <w:lang w:eastAsia="fr-FR"/>
    </w:rPr>
  </w:style>
  <w:style w:type="paragraph" w:styleId="Retraitcorpsdetexte2">
    <w:name w:val="Body Text Indent 2"/>
    <w:basedOn w:val="Normal"/>
    <w:link w:val="Retraitcorpsdetexte2Car"/>
    <w:uiPriority w:val="99"/>
    <w:rsid w:val="00B26158"/>
    <w:pPr>
      <w:ind w:left="720"/>
    </w:pPr>
  </w:style>
  <w:style w:type="character" w:customStyle="1" w:styleId="Retraitcorpsdetexte2Car">
    <w:name w:val="Retrait corps de texte 2 Car"/>
    <w:basedOn w:val="Policepardfaut"/>
    <w:link w:val="Retraitcorpsdetexte2"/>
    <w:uiPriority w:val="99"/>
    <w:rsid w:val="00B26158"/>
    <w:rPr>
      <w:rFonts w:ascii="Times New Roman" w:eastAsiaTheme="minorEastAsia" w:hAnsi="Times New Roman" w:cs="Times New Roman"/>
      <w:sz w:val="24"/>
      <w:szCs w:val="24"/>
      <w:lang w:val="en-US" w:eastAsia="fr-FR"/>
    </w:rPr>
  </w:style>
  <w:style w:type="paragraph" w:styleId="Normalcentr">
    <w:name w:val="Block Text"/>
    <w:basedOn w:val="Normal"/>
    <w:uiPriority w:val="99"/>
    <w:rsid w:val="00B26158"/>
    <w:pPr>
      <w:tabs>
        <w:tab w:val="left" w:pos="1800"/>
      </w:tabs>
      <w:spacing w:line="360" w:lineRule="auto"/>
      <w:ind w:left="720" w:right="720" w:hanging="720"/>
      <w:jc w:val="both"/>
    </w:pPr>
    <w:rPr>
      <w:rFonts w:ascii="Garamond" w:hAnsi="Garamond" w:cs="Garamond"/>
      <w:sz w:val="22"/>
      <w:szCs w:val="22"/>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10067D-81FF-40FC-95D7-4D606C2D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2088</Words>
  <Characters>11489</Characters>
  <Application>Microsoft Office Word</Application>
  <DocSecurity>0</DocSecurity>
  <Lines>95</Lines>
  <Paragraphs>27</Paragraphs>
  <ScaleCrop>false</ScaleCrop>
  <Company>Microsoft</Company>
  <LinksUpToDate>false</LinksUpToDate>
  <CharactersWithSpaces>13550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2</cp:revision>
  <dcterms:created xsi:type="dcterms:W3CDTF">2019-06-01T14:54:00Z</dcterms:created>
  <dcterms:modified xsi:type="dcterms:W3CDTF">2019-06-01T15:10:00Z</dcterms:modified>
</cp:coreProperties>
</file>