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D281" w14:textId="5819ACAD" w:rsidR="000912CB" w:rsidRPr="0093256E" w:rsidRDefault="000912CB" w:rsidP="0093256E">
      <w:pPr>
        <w:pStyle w:val="Titre1"/>
      </w:pPr>
      <w:r w:rsidRPr="0093256E">
        <w:t>Money, gold and foreign reserves in the interwar gold standard and the Bretton Woods era.</w:t>
      </w:r>
    </w:p>
    <w:p w14:paraId="6C0242FC" w14:textId="77777777" w:rsidR="000912CB" w:rsidRPr="005E5C5D" w:rsidRDefault="000912CB" w:rsidP="005E5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0C7C7" w14:textId="6A4690CC" w:rsidR="000912CB" w:rsidRPr="005E5C5D" w:rsidRDefault="000912CB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 xml:space="preserve">Instructions to use the datasets and reproduce the figures and tables published in the article: </w:t>
      </w:r>
    </w:p>
    <w:p w14:paraId="5FAD1088" w14:textId="065774D1" w:rsidR="000912CB" w:rsidRPr="005E5C5D" w:rsidRDefault="000912CB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 xml:space="preserve">Monnet, Eric, and Damien Puy. </w:t>
      </w:r>
      <w:r w:rsidR="005E5C5D" w:rsidRPr="005E5C5D">
        <w:rPr>
          <w:rFonts w:ascii="Times New Roman" w:hAnsi="Times New Roman" w:cs="Times New Roman"/>
          <w:sz w:val="24"/>
          <w:szCs w:val="24"/>
        </w:rPr>
        <w:t>“</w:t>
      </w:r>
      <w:r w:rsidRPr="005E5C5D">
        <w:rPr>
          <w:rFonts w:ascii="Times New Roman" w:hAnsi="Times New Roman" w:cs="Times New Roman"/>
          <w:sz w:val="24"/>
          <w:szCs w:val="24"/>
        </w:rPr>
        <w:t>Do Old Habits Die Hard? Central Banks and the Bretton Woods Gold Puzzle</w:t>
      </w:r>
      <w:r w:rsidR="005E5C5D" w:rsidRPr="005E5C5D">
        <w:rPr>
          <w:rFonts w:ascii="Times New Roman" w:hAnsi="Times New Roman" w:cs="Times New Roman"/>
          <w:sz w:val="24"/>
          <w:szCs w:val="24"/>
        </w:rPr>
        <w:t>”</w:t>
      </w:r>
      <w:r w:rsidR="005E5C5D" w:rsidRPr="005E5C5D">
        <w:rPr>
          <w:rFonts w:ascii="Times New Roman" w:hAnsi="Times New Roman" w:cs="Times New Roman"/>
          <w:i/>
          <w:sz w:val="24"/>
          <w:szCs w:val="24"/>
        </w:rPr>
        <w:t>, Journal of International Economics, 2021.</w:t>
      </w:r>
    </w:p>
    <w:p w14:paraId="4E66D7A8" w14:textId="024CFFDC" w:rsidR="008A781E" w:rsidRPr="0093256E" w:rsidRDefault="008A781E" w:rsidP="005E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56E">
        <w:rPr>
          <w:rFonts w:ascii="Times New Roman" w:hAnsi="Times New Roman" w:cs="Times New Roman"/>
          <w:sz w:val="24"/>
          <w:szCs w:val="24"/>
          <w:u w:val="single"/>
        </w:rPr>
        <w:t>Please cite th</w:t>
      </w:r>
      <w:r w:rsidR="0093256E" w:rsidRPr="0093256E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93256E">
        <w:rPr>
          <w:rFonts w:ascii="Times New Roman" w:hAnsi="Times New Roman" w:cs="Times New Roman"/>
          <w:sz w:val="24"/>
          <w:szCs w:val="24"/>
          <w:u w:val="single"/>
        </w:rPr>
        <w:t xml:space="preserve"> article when using the dataset.</w:t>
      </w:r>
    </w:p>
    <w:p w14:paraId="00EA6FBB" w14:textId="15991055" w:rsidR="004C5E31" w:rsidRPr="005E5C5D" w:rsidRDefault="000912CB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>Online repository:</w:t>
      </w:r>
      <w:r w:rsidR="008A781E" w:rsidRPr="005E5C5D">
        <w:rPr>
          <w:rFonts w:ascii="Times New Roman" w:hAnsi="Times New Roman" w:cs="Times New Roman"/>
          <w:sz w:val="24"/>
          <w:szCs w:val="24"/>
        </w:rPr>
        <w:t xml:space="preserve"> Monnet, Eric, and Damien Puy “Money, gold and foreign reserves in the interwar gold standard and the Bretton Woods era”, </w:t>
      </w:r>
      <w:proofErr w:type="spellStart"/>
      <w:r w:rsidR="008A781E" w:rsidRPr="005E5C5D">
        <w:rPr>
          <w:rFonts w:ascii="Times New Roman" w:hAnsi="Times New Roman" w:cs="Times New Roman"/>
          <w:i/>
          <w:sz w:val="24"/>
          <w:szCs w:val="24"/>
        </w:rPr>
        <w:t>Didomena</w:t>
      </w:r>
      <w:proofErr w:type="spellEnd"/>
      <w:r w:rsidR="008A781E" w:rsidRPr="005E5C5D">
        <w:rPr>
          <w:rFonts w:ascii="Times New Roman" w:hAnsi="Times New Roman" w:cs="Times New Roman"/>
          <w:i/>
          <w:sz w:val="24"/>
          <w:szCs w:val="24"/>
        </w:rPr>
        <w:t xml:space="preserve"> online dataset</w:t>
      </w:r>
      <w:r w:rsidR="008A781E" w:rsidRPr="005E5C5D">
        <w:rPr>
          <w:rFonts w:ascii="Times New Roman" w:hAnsi="Times New Roman" w:cs="Times New Roman"/>
          <w:sz w:val="24"/>
          <w:szCs w:val="24"/>
        </w:rPr>
        <w:t xml:space="preserve">, 2020, </w:t>
      </w:r>
      <w:hyperlink r:id="rId4" w:history="1">
        <w:r w:rsidR="008A781E" w:rsidRPr="005E5C5D">
          <w:rPr>
            <w:rStyle w:val="Lienhypertexte"/>
            <w:rFonts w:ascii="Times New Roman" w:hAnsi="Times New Roman" w:cs="Times New Roman"/>
            <w:sz w:val="24"/>
            <w:szCs w:val="24"/>
          </w:rPr>
          <w:t>doi:10.25721/r55j-2b94</w:t>
        </w:r>
      </w:hyperlink>
    </w:p>
    <w:p w14:paraId="1E798250" w14:textId="1617D42C" w:rsidR="004C5E31" w:rsidRPr="005E5C5D" w:rsidRDefault="004C5E31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 xml:space="preserve">The sources of data </w:t>
      </w:r>
      <w:r w:rsidR="00CE2F51" w:rsidRPr="005E5C5D">
        <w:rPr>
          <w:rFonts w:ascii="Times New Roman" w:hAnsi="Times New Roman" w:cs="Times New Roman"/>
          <w:sz w:val="24"/>
          <w:szCs w:val="24"/>
        </w:rPr>
        <w:t>are presented in the article and its appendix.</w:t>
      </w:r>
    </w:p>
    <w:p w14:paraId="3AB8A93F" w14:textId="77777777" w:rsidR="000912CB" w:rsidRPr="005E5C5D" w:rsidRDefault="000912CB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5C5D">
        <w:rPr>
          <w:rFonts w:ascii="Times New Roman" w:hAnsi="Times New Roman" w:cs="Times New Roman"/>
          <w:sz w:val="24"/>
          <w:szCs w:val="24"/>
        </w:rPr>
        <w:t>BrettonWoods_MonnetPuy.dta</w:t>
      </w:r>
      <w:proofErr w:type="spellEnd"/>
      <w:r w:rsidRPr="005E5C5D">
        <w:rPr>
          <w:rFonts w:ascii="Times New Roman" w:hAnsi="Times New Roman" w:cs="Times New Roman"/>
          <w:sz w:val="24"/>
          <w:szCs w:val="24"/>
        </w:rPr>
        <w:t xml:space="preserve"> contains the main data of the paper, used for the Figures and Estimations. The format is STATA 15</w:t>
      </w:r>
    </w:p>
    <w:p w14:paraId="5941A7C8" w14:textId="77777777" w:rsidR="000912CB" w:rsidRPr="005E5C5D" w:rsidRDefault="000912CB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>We also provide an excel version of the dataset: BrettonWoods_MonnetPuy.xlsx</w:t>
      </w:r>
    </w:p>
    <w:p w14:paraId="1673C4BE" w14:textId="2B929C4C" w:rsidR="000912CB" w:rsidRPr="0093256E" w:rsidRDefault="000912CB" w:rsidP="005E5C5D">
      <w:pPr>
        <w:jc w:val="both"/>
        <w:rPr>
          <w:rFonts w:ascii="Times New Roman" w:hAnsi="Times New Roman" w:cs="Times New Roman"/>
        </w:rPr>
      </w:pPr>
      <w:r w:rsidRPr="005E5C5D">
        <w:rPr>
          <w:rFonts w:ascii="Times New Roman" w:hAnsi="Times New Roman" w:cs="Times New Roman"/>
          <w:sz w:val="24"/>
          <w:szCs w:val="24"/>
        </w:rPr>
        <w:t>*BrettonWoods.do presents the codes to reproduce all figures and tables in the body of the article,</w:t>
      </w:r>
      <w:r w:rsidR="008A781E" w:rsidRPr="005E5C5D">
        <w:rPr>
          <w:rFonts w:ascii="Times New Roman" w:hAnsi="Times New Roman" w:cs="Times New Roman"/>
          <w:sz w:val="24"/>
          <w:szCs w:val="24"/>
        </w:rPr>
        <w:t xml:space="preserve"> </w:t>
      </w:r>
      <w:r w:rsidRPr="005E5C5D">
        <w:rPr>
          <w:rFonts w:ascii="Times New Roman" w:hAnsi="Times New Roman" w:cs="Times New Roman"/>
          <w:sz w:val="24"/>
          <w:szCs w:val="24"/>
        </w:rPr>
        <w:t xml:space="preserve">as well as robustness checks </w:t>
      </w:r>
      <w:r w:rsidR="0093256E" w:rsidRPr="005E5C5D">
        <w:rPr>
          <w:rFonts w:ascii="Times New Roman" w:hAnsi="Times New Roman" w:cs="Times New Roman"/>
          <w:sz w:val="24"/>
          <w:szCs w:val="24"/>
        </w:rPr>
        <w:t>mentioned</w:t>
      </w:r>
      <w:r w:rsidRPr="005E5C5D">
        <w:rPr>
          <w:rFonts w:ascii="Times New Roman" w:hAnsi="Times New Roman" w:cs="Times New Roman"/>
          <w:sz w:val="24"/>
          <w:szCs w:val="24"/>
        </w:rPr>
        <w:t xml:space="preserve"> in the paper and previous estimations published in the working paper</w:t>
      </w:r>
      <w:r w:rsidR="008A781E" w:rsidRPr="005E5C5D">
        <w:rPr>
          <w:rFonts w:ascii="Times New Roman" w:hAnsi="Times New Roman" w:cs="Times New Roman"/>
          <w:sz w:val="24"/>
          <w:szCs w:val="24"/>
        </w:rPr>
        <w:t xml:space="preserve"> </w:t>
      </w:r>
      <w:r w:rsidRPr="0093256E">
        <w:rPr>
          <w:rFonts w:ascii="Times New Roman" w:hAnsi="Times New Roman" w:cs="Times New Roman"/>
          <w:i/>
        </w:rPr>
        <w:t>Monnet, Eric, and Damien Puy. Do Old Habits Die Hard? Central Banks and the Bretton Woods Gold Puzzle. No. 19/161. International Monetary Fund, 2019.</w:t>
      </w:r>
    </w:p>
    <w:p w14:paraId="3EA17FC2" w14:textId="43C3C4A2" w:rsidR="00062682" w:rsidRPr="005E5C5D" w:rsidRDefault="00062682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 xml:space="preserve">Note that </w:t>
      </w:r>
      <w:r w:rsidR="0093256E">
        <w:rPr>
          <w:rFonts w:ascii="Times New Roman" w:hAnsi="Times New Roman" w:cs="Times New Roman"/>
          <w:sz w:val="24"/>
          <w:szCs w:val="24"/>
        </w:rPr>
        <w:t xml:space="preserve">have </w:t>
      </w:r>
      <w:r w:rsidRPr="005E5C5D">
        <w:rPr>
          <w:rFonts w:ascii="Times New Roman" w:hAnsi="Times New Roman" w:cs="Times New Roman"/>
          <w:sz w:val="24"/>
          <w:szCs w:val="24"/>
        </w:rPr>
        <w:t>reconstruct</w:t>
      </w:r>
      <w:r w:rsidR="0093256E">
        <w:rPr>
          <w:rFonts w:ascii="Times New Roman" w:hAnsi="Times New Roman" w:cs="Times New Roman"/>
          <w:sz w:val="24"/>
          <w:szCs w:val="24"/>
        </w:rPr>
        <w:t>ed</w:t>
      </w:r>
      <w:r w:rsidRPr="005E5C5D">
        <w:rPr>
          <w:rFonts w:ascii="Times New Roman" w:hAnsi="Times New Roman" w:cs="Times New Roman"/>
          <w:sz w:val="24"/>
          <w:szCs w:val="24"/>
        </w:rPr>
        <w:t xml:space="preserve"> a GDP in</w:t>
      </w:r>
      <w:bookmarkStart w:id="0" w:name="_GoBack"/>
      <w:bookmarkEnd w:id="0"/>
      <w:r w:rsidRPr="005E5C5D">
        <w:rPr>
          <w:rFonts w:ascii="Times New Roman" w:hAnsi="Times New Roman" w:cs="Times New Roman"/>
          <w:sz w:val="24"/>
          <w:szCs w:val="24"/>
        </w:rPr>
        <w:t xml:space="preserve"> national currency as of 1971 using a conversion rate between national currency in 2015 and national currency in 1971 (</w:t>
      </w:r>
      <w:proofErr w:type="spellStart"/>
      <w:r w:rsidRPr="005E5C5D">
        <w:rPr>
          <w:rFonts w:ascii="Times New Roman" w:hAnsi="Times New Roman" w:cs="Times New Roman"/>
          <w:sz w:val="24"/>
          <w:szCs w:val="24"/>
        </w:rPr>
        <w:t>gdpnc</w:t>
      </w:r>
      <w:proofErr w:type="spellEnd"/>
      <w:r w:rsidRPr="005E5C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E5C5D">
        <w:rPr>
          <w:rFonts w:ascii="Times New Roman" w:hAnsi="Times New Roman" w:cs="Times New Roman"/>
          <w:sz w:val="24"/>
          <w:szCs w:val="24"/>
        </w:rPr>
        <w:t>v_gdp</w:t>
      </w:r>
      <w:proofErr w:type="spellEnd"/>
      <w:r w:rsidRPr="005E5C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5C5D">
        <w:rPr>
          <w:rFonts w:ascii="Times New Roman" w:hAnsi="Times New Roman" w:cs="Times New Roman"/>
          <w:sz w:val="24"/>
          <w:szCs w:val="24"/>
        </w:rPr>
        <w:t>conversionrate</w:t>
      </w:r>
      <w:proofErr w:type="spellEnd"/>
      <w:r w:rsidRPr="005E5C5D">
        <w:rPr>
          <w:rFonts w:ascii="Times New Roman" w:hAnsi="Times New Roman" w:cs="Times New Roman"/>
          <w:sz w:val="24"/>
          <w:szCs w:val="24"/>
        </w:rPr>
        <w:t xml:space="preserve">). </w:t>
      </w:r>
      <w:r w:rsidR="0093256E">
        <w:rPr>
          <w:rFonts w:ascii="Times New Roman" w:hAnsi="Times New Roman" w:cs="Times New Roman"/>
          <w:sz w:val="24"/>
          <w:szCs w:val="24"/>
        </w:rPr>
        <w:t xml:space="preserve">The conversion rate and original data are provided in the dataset. </w:t>
      </w:r>
      <w:r w:rsidRPr="005E5C5D">
        <w:rPr>
          <w:rFonts w:ascii="Times New Roman" w:hAnsi="Times New Roman" w:cs="Times New Roman"/>
          <w:sz w:val="24"/>
          <w:szCs w:val="24"/>
        </w:rPr>
        <w:t xml:space="preserve">All other variables (money, currency, exports, imports) were expressed in 1971 national </w:t>
      </w:r>
      <w:proofErr w:type="spellStart"/>
      <w:r w:rsidRPr="005E5C5D">
        <w:rPr>
          <w:rFonts w:ascii="Times New Roman" w:hAnsi="Times New Roman" w:cs="Times New Roman"/>
          <w:sz w:val="24"/>
          <w:szCs w:val="24"/>
        </w:rPr>
        <w:t>curency</w:t>
      </w:r>
      <w:proofErr w:type="spellEnd"/>
      <w:r w:rsidRPr="005E5C5D">
        <w:rPr>
          <w:rFonts w:ascii="Times New Roman" w:hAnsi="Times New Roman" w:cs="Times New Roman"/>
          <w:sz w:val="24"/>
          <w:szCs w:val="24"/>
        </w:rPr>
        <w:t xml:space="preserve"> because taken directly from IMF paper volumes (</w:t>
      </w:r>
      <w:r w:rsidRPr="0093256E">
        <w:rPr>
          <w:rFonts w:ascii="Times New Roman" w:hAnsi="Times New Roman" w:cs="Times New Roman"/>
          <w:i/>
          <w:sz w:val="24"/>
          <w:szCs w:val="24"/>
        </w:rPr>
        <w:t>International Financial Statistics</w:t>
      </w:r>
      <w:r w:rsidRPr="005E5C5D">
        <w:rPr>
          <w:rFonts w:ascii="Times New Roman" w:hAnsi="Times New Roman" w:cs="Times New Roman"/>
          <w:sz w:val="24"/>
          <w:szCs w:val="24"/>
        </w:rPr>
        <w:t>)</w:t>
      </w:r>
    </w:p>
    <w:p w14:paraId="0AAEC40A" w14:textId="610CBE32" w:rsidR="000912CB" w:rsidRPr="005E5C5D" w:rsidRDefault="000912CB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E5C5D">
        <w:rPr>
          <w:rFonts w:ascii="Times New Roman" w:hAnsi="Times New Roman" w:cs="Times New Roman"/>
          <w:sz w:val="24"/>
          <w:szCs w:val="24"/>
        </w:rPr>
        <w:t>Interwar_MonnetPuy.data</w:t>
      </w:r>
      <w:proofErr w:type="spellEnd"/>
      <w:r w:rsidRPr="005E5C5D">
        <w:rPr>
          <w:rFonts w:ascii="Times New Roman" w:hAnsi="Times New Roman" w:cs="Times New Roman"/>
          <w:sz w:val="24"/>
          <w:szCs w:val="24"/>
        </w:rPr>
        <w:t xml:space="preserve"> and Interwar.do contains data and codes for the interwar period, used in Appendix 2 in the paper. </w:t>
      </w:r>
    </w:p>
    <w:p w14:paraId="3D4A590C" w14:textId="6DA37438" w:rsidR="00BA7635" w:rsidRPr="005E5C5D" w:rsidRDefault="000912CB" w:rsidP="005E5C5D">
      <w:pPr>
        <w:jc w:val="both"/>
        <w:rPr>
          <w:rFonts w:ascii="Times New Roman" w:hAnsi="Times New Roman" w:cs="Times New Roman"/>
          <w:sz w:val="24"/>
          <w:szCs w:val="24"/>
        </w:rPr>
      </w:pPr>
      <w:r w:rsidRPr="005E5C5D">
        <w:rPr>
          <w:rFonts w:ascii="Times New Roman" w:hAnsi="Times New Roman" w:cs="Times New Roman"/>
          <w:sz w:val="24"/>
          <w:szCs w:val="24"/>
        </w:rPr>
        <w:t>We also provide an excel version of the dataset: Interwar_MonnetPuy.xlsx</w:t>
      </w:r>
    </w:p>
    <w:sectPr w:rsidR="00BA7635" w:rsidRPr="005E5C5D" w:rsidSect="002B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</w:font>
  <w:font w:name="Nimbus Mono L">
    <w:charset w:val="00"/>
    <w:family w:val="modern"/>
    <w:pitch w:val="fixed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A7"/>
    <w:rsid w:val="00062682"/>
    <w:rsid w:val="000912CB"/>
    <w:rsid w:val="002B3D06"/>
    <w:rsid w:val="002B46ED"/>
    <w:rsid w:val="004604A7"/>
    <w:rsid w:val="004C5E31"/>
    <w:rsid w:val="005E5C5D"/>
    <w:rsid w:val="00697BA7"/>
    <w:rsid w:val="008A781E"/>
    <w:rsid w:val="0093256E"/>
    <w:rsid w:val="00C028B4"/>
    <w:rsid w:val="00CE2F51"/>
    <w:rsid w:val="00D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7836"/>
  <w15:chartTrackingRefBased/>
  <w15:docId w15:val="{FE089984-02E2-4E44-AA3F-C4D3E14C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1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8A781E"/>
    <w:rPr>
      <w:color w:val="0000FF"/>
      <w:u w:val="single"/>
    </w:rPr>
  </w:style>
  <w:style w:type="paragraph" w:customStyle="1" w:styleId="PreformattedText">
    <w:name w:val="Preformatted Text"/>
    <w:basedOn w:val="Normal"/>
    <w:rsid w:val="000626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imbus Mono L" w:hAnsi="Liberation Mono" w:cs="Liberation Mono"/>
      <w:kern w:val="3"/>
      <w:sz w:val="20"/>
      <w:szCs w:val="20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doi:10.25721/r55j-2b9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11</cp:revision>
  <cp:lastPrinted>2020-09-19T09:40:00Z</cp:lastPrinted>
  <dcterms:created xsi:type="dcterms:W3CDTF">2020-09-19T09:40:00Z</dcterms:created>
  <dcterms:modified xsi:type="dcterms:W3CDTF">2020-10-05T10:51:00Z</dcterms:modified>
</cp:coreProperties>
</file>